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23 106 vom 2. Mai 2024</w:t>
      </w:r>
    </w:p>
    <w:p>
      <w:r>
        <w:t>VS Kantonsgericht, 2024-05-02, DE</w:t>
      </w:r>
    </w:p>
    <w:p>
      <w:r>
        <w:rPr>
          <w:b/>
        </w:rPr>
        <w:t xml:space="preserve">Quelle: </w:t>
      </w:r>
      <w:r>
        <w:t>https://mcp.opencaselaw.ch/entscheid/vs_gerichte_S2 23 106</w:t>
      </w:r>
    </w:p>
    <w:p>
      <w:r>
        <w:t>FR: VS_GERICHTE S2 23 106 du 2 mai 2024</w:t>
      </w:r>
    </w:p>
    <w:p>
      <w:r>
        <w:t>IT: VS_GERICHTE S2 23 106 del 2 maggio 2024</w:t>
      </w:r>
    </w:p>
    <w:p>
      <w:pPr>
        <w:pStyle w:val="Heading2"/>
      </w:pPr>
      <w:r>
        <w:t>Regeste</w:t>
      </w:r>
    </w:p>
    <w:p>
      <w:r>
        <w:t>S2 23 106 URTEIL VOM 2. MAI 2024 Kantonsgericht Wallis Sozialversicherungsrechtliche Abteilung Besetzung: Michael Steiner, Präsident; Candido Prada und Dr. Thierry Schnyder, Kantonsrichter; Renata Kreuzer, Gerichtsschreiberin in Sachen X _________, Beschwerdeführer gegen AXA VERSICHERUNGEN AG, Beschwerdegegnerin (Unfallbegriff, unfallähnliche Körperschädigung) Beschwerde gegen den Entscheid vom 31. Oktober 2023</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Abs. 2 ATSG i.V.m. Art. 1 Abs. 2 RVG und Art. 81a VVRG, Art. 7 Abs. 2 RPflG). Der Beschwerdeführer ist durch den angefochtenen Entscheid berührt und hat ein schutzwürdiges Interesse an dessen Aufhebung (Art. 59 ATSG), weshalb auf die form- und fristgerecht eingereichte Be- schwerde einzutreten ist (Art. 60 ATSG, Art. 61 lit. b ATSG).</w:t>
      </w:r>
    </w:p>
    <w:p>
      <w:r>
        <w:rPr>
          <w:b/>
        </w:rPr>
        <w:t>E. 2</w:t>
      </w:r>
    </w:p>
    <w:p>
      <w:r>
        <w:t>Streitig und zu prüfen ist, ob die Beschwerdegegnerin ihre Leistungspflicht für das Ereignis vom 13. Februar 2023 zu Recht verneint hat.</w:t>
      </w:r>
    </w:p>
    <w:p>
      <w:r>
        <w:rPr>
          <w:b/>
        </w:rPr>
        <w:t>E. 3.1</w:t>
      </w:r>
    </w:p>
    <w:p>
      <w:r>
        <w:t>Nach Art. 6 Abs. 1 UVG werden Versicherungsleistungen bei Berufsunfällen, Nicht- berufsunfällen und Berufskrankheiten gewährt, soweit dieses Gesetz nichts anderes be- stimmt. Als Unfall gilt gemäss Art. 4 ATSG die plötzliche, nicht beabsichtigte schädi-</w:t>
      </w:r>
    </w:p>
    <w:p>
      <w:r>
        <w:t>- 4 - gende Einwirkung eines ungewöhnlichen äusseren Faktors auf den menschlichen Kör- per, die eine Beeinträchtigung der körperlichen oder psychischen Gesundheit oder den Tod zur Folge hat. Damit ein Ereignis als Unfall angesehen werden kann, müssen not- wendigerweise alle Begriffsmerkmale der Definition dieses Unfallbegriffs vorliegen. Dabei bezieht sich das Begriffsmerkmal der Ungewöhnlichkeit nicht auf die Wirkung des äusseren Faktors, sondern auf den Faktor selbst. Ohne Belang für die Prüfung der Un- gewöhnlichkeit ist somit, dass der äussere Faktor allenfalls schwerwiegende, unerwar- tete Folgen nach sich gezogen hat (BGE 134 V 76 ff. E. 4.1 und 4.3.1). Ein äusserer Faktor ist ungewöhnlich, wenn er den Rahmen des im jeweiligen Lebensbereich Alltäg- lichen oder Üblichen überschreitet. Ob dies zutrifft, beurteilt sich im Einzelfall, wobei grundsätzlich nur die objektiven Umstände in Betracht fallen (A. Nabold, in: Kommentar zum Schweizerischen Sozialversicherungsrecht, Bundesgesetz über die Unfallversiche- rung [UVG], Bern 2018, N 42 zu Art. 6).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Bei unko- ordinierten Bewegungen gilt der Grundsatz, dass das Erfordernis der äusseren Einwir- 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Zu ergänzen ist, dass wo sich die Schädigung auf das Körperinnere beschränkt und sie erfahrungsgemäss auch als allei- nige Folge von Krankheiten, namentlich von degenerativen Veränderungen eines Kör- perteils innerhalb eines durchaus normalen Geschehensablaufs auftreten kann, die un- koordinierte Bewegung als unmittelbare Ursache der Schädigung indessen unter beson- ders sinnfälligen Umständen gesetzt worden sein muss (RKUV 1999 Nr. U 345 S. 422 E. 2b).</w:t>
      </w:r>
    </w:p>
    <w:p>
      <w:r>
        <w:rPr>
          <w:b/>
        </w:rPr>
        <w:t>E. 3.2</w:t>
      </w:r>
    </w:p>
    <w:p>
      <w:r>
        <w:t>Gemäss Art. 6 Abs. 2 UVG erbringt der Unfallversicherer sodann seine Leistungen auch bei den folgenden Körperschädigungen, sofern sie nicht vorwiegend auf Abnützung oder Erkrankung zurückzuführend sind: a. Knochenbrüche; b. Verrenkungen von Gelen- ken; c. Meniskusrisse; d. Muskelrisse; e. Muskelzerrungen; f. Sehnenrisse; g. Bandläsi- onen und h. Trommelfellverletzungen.</w:t>
      </w:r>
    </w:p>
    <w:p>
      <w:r>
        <w:t>- 5 - Hinsichtlich der unfallähnlichen Körperschädigungen hat das Bundesgericht in BGE 146 V 51 E. 8.6 festgehalten (mit Hinweisen), dass für die Anwendung von Art. 6 Abs. 2 UVG kein äusserer Faktor und damit kein unfallähnliches sinnfälliges Ereignis oder eine all- gemein gesteigerte Gefahrenlage mehr vorausgesetzt ist. Insoweit führt grundsätzlich bereits die Tatsache, dass eine in Art. 6 Abs. 2 lit. a-h UVG genannte Körperschädigung vorliegt, nunmehr zur Vermutung, es handle sich hierbei um eine Schädigung, die vom Unfallversicherer übernommen werden muss. Indessen ergibt sich aus der in Art. 6 Abs. 2 UVG vorgesehenen Möglichkeit des Gegenbeweises weiterhin die Notwendigkeit der Abgrenzung der vom Unfallversicherer zu übernehmenden unfallähnlichen Körperschä- digung von der abnützungs- und erkrankungsbedingten Ursache einer Listenverletzung und damit letztlich zur Leistungspflicht des Krankenversicherers.</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 Das Gericht kann sein Urteil auf Berichte versicherungsinterner Ärztinnen und Ärzte stützen, sofern keinerlei Zweifel an der Richtigkeit der in diesen Berichten enthaltenen Schlussfolgerungen be- stehen (BGE 137 V 210 E. 2.2.2, 135 V 465 E 4).</w:t>
      </w:r>
    </w:p>
    <w:p>
      <w:r>
        <w:t>- 6 - 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 8C_331/2015 vom 21. August 2015 E. 2.2.3.1).</w:t>
      </w:r>
    </w:p>
    <w:p>
      <w:r>
        <w:rPr>
          <w:b/>
        </w:rPr>
        <w:t>E. 5.1</w:t>
      </w:r>
    </w:p>
    <w:p>
      <w:r>
        <w:t>Strittig ist vorerst, ob das Ereignis vom 13. Februar 2023 überhaupt als Unfall ge- mäss Art. 6 Abs. 1 UVG i.V.m. Art. 4 ATSG zu qualifizieren ist.</w:t>
      </w:r>
    </w:p>
    <w:p>
      <w:r>
        <w:rPr>
          <w:b/>
        </w:rPr>
        <w:t>E. 5.2</w:t>
      </w:r>
    </w:p>
    <w:p>
      <w:r>
        <w:t>Auf dem Frageboten zum Ereignis vom 13. Februar 2023 (A5) füllte der Beschwer- deführer am 21. Februar 2023 handschriftlich aus, «Es ist beim Volleyballspielen passiert. Als ich den Ball abfangen wollte, bin ich nach rechts gesprungen, wobei sich mein Knie verdreht hat und ich es Krachen gehört und gespürt habe». Gestützt auf diese Aussage trug sich beim Volleyballspie- len nichts Ungewöhnliches zu. Namentlich bestehen auch keine Anhaltspunkte dafür, dass ein in der Aussenwelt begründeter Umstand den natürlichen Ablauf der Körperbe- wegung programmwidrig gestört hätte. Allein der Umstand, dass der Beschwerdeführer sich eine Kniedistorsion zugezogen hat, vermag den Unfallbegriff nicht zu erfüllen, denn nach der Rechtsprechung bezieht sich das Begriffsmerkmal der Ungewöhnlichkeit nicht auf die Wirkung des äusseren Faktors, sondern nur auf diesen selber (Bundesgerichts- urteil 8C_909/2012 vom 4. Februar 2013 E. 4.2).</w:t>
      </w:r>
    </w:p>
    <w:p>
      <w:r>
        <w:rPr>
          <w:b/>
        </w:rPr>
        <w:t>E. 5.3</w:t>
      </w:r>
    </w:p>
    <w:p>
      <w:r>
        <w:t>Damit fällt eine Leistungspflicht der Beschwerdegegnerin aus Unfall (Art. 6 Abs. 1 UVG i.V.m. Art. 4 ATSG) ausser Betracht.</w:t>
      </w:r>
    </w:p>
    <w:p>
      <w:r>
        <w:rPr>
          <w:b/>
        </w:rPr>
        <w:t>E. 6</w:t>
      </w:r>
    </w:p>
    <w:p>
      <w:r>
        <w:t>Abs. 2 UVG.</w:t>
      </w:r>
    </w:p>
    <w:p>
      <w:r>
        <w:rPr>
          <w:b/>
        </w:rPr>
        <w:t>E. 6.1</w:t>
      </w:r>
    </w:p>
    <w:p>
      <w:r>
        <w:t>Im Folgenden zu prüfen bleibt die Leistungspflicht der Beschwerdegegnerin aus Art.</w:t>
      </w:r>
    </w:p>
    <w:p>
      <w:r>
        <w:rPr>
          <w:b/>
        </w:rPr>
        <w:t>E. 6.2</w:t>
      </w:r>
    </w:p>
    <w:p>
      <w:r>
        <w:t>Der Beschwerdeführer bringt vor, entgegen der Annahme der Beschwerdegegnerin sei eine Listenverletzung sehr wohl durch einen Arzt diagnostiziert worden und damit als gesichert zu bewerten. Die Beschwerdegegnerin beruft sich auf die Ausführungen ihres beratenden Arztes, wo- nach die im MRI dokumentierten Veränderungen nicht eindeutig als frische strukturelle Unfallfolgen interpretiert werden könnten und klinisch auch nicht bestätigt seien. Eine Bandläsion sei damit nicht mit überwiegender Wahrscheinlichkeit erstellt. Ein Bone</w:t>
      </w:r>
    </w:p>
    <w:p>
      <w:r>
        <w:t>- 7 - Bruise mit Fissurlinien entspreche nicht einem Knochenbruch. Diese schlüssige fach- ärztliche Beurteilung sei in sich widerspruchsfrei und erfülle die rechtsprechungsgemäs- sen Voraussetzungen für eine beweiskräftige ärztliche Entscheidungsgrundlage.</w:t>
      </w:r>
    </w:p>
    <w:p>
      <w:r>
        <w:rPr>
          <w:b/>
        </w:rPr>
        <w:t>E. 6.3</w:t>
      </w:r>
    </w:p>
    <w:p>
      <w:r>
        <w:t>Zu prüfen ist somit, ob die versicherungsinterne ärztliche Beurteilung den strengen Anforderungen an die Beweiswürdigung zu genügen vermag oder ob in casu ergän- zende Abklärungen notwendig sind (BGE 135 V 465 E. 4.4). Aus medizinischer Sicht sind sämtliche für oder gegen eine unfallbedingte Genese spre- chenden Aspekte zu diskutieren und es ist ein Sachverhalt zu ermitteln, der zumindest überwiegend wahrscheinlich ist (Bundesgerichtsurteil 8C_645/2022 vom 16. Februar 2023 E. 4.2).</w:t>
      </w:r>
    </w:p>
    <w:p>
      <w:r>
        <w:rPr>
          <w:b/>
        </w:rPr>
        <w:t>E. 6.4</w:t>
      </w:r>
    </w:p>
    <w:p>
      <w:r>
        <w:t>Der beratende Arzt der Beschwerdegegnerin hielt fest, gesamtbilanzierend zeigten sich nach systematischer Analyse aller relevanten, versicherungsmedizinischen Krite- rien und bei unbefriedigender Dokumentationslage seitens des orthopädischen Facharz- tes einige Schwierigkeiten, die Beschwerden zu interpretieren und zuzuordnen (M8). Aufgrund der vorhandenen Befunde lasse sich nicht mit überwiegender Wahrscheinlich- keit eine Körperschädigung gemäss Art. 6 Abs. 2 UVG nachweisen. Bezüglich einer Bandläsion sei am vorderen Kreuzband in der radiologischen Beurteilung lediglich ein Verdacht geäussert worden. Klinisch sei keine Instabilität dokumentiert. Ein Knochen- bruch habe sich bildgebend nicht gezeigt. Das Knochenödem (Bone Bruise) befinde sich an einer Stelle, die mit überwiegender Wahrscheinlichkeit nicht mit einer traumatischen Entstehung vereinbar sei. Es sei primär Aufgabe des leistungserbringenden orthopädi- schen Facharztes, eine umfassende, systematische und logisch nachvollziehbare anam- nestische und klinische Beurteilung abzugeben. Ein funktionelles Schadenbild (Fähig- keitsverlauf) fehle jedoch, bzw. sei klar unterdokumentiert. Der behandelnde orthopädische Facharzt des Beschwerdeführers wiederholte in seinem Schreiben vom 6. April 2023 die MRI-Diagnosen (M5). Eine klinische Untersuchung des Kniegelenks wurde im orthopädischen Bericht nicht beschrieben. Im Dossier der Beschwerdegegnerin findet sich auch der Bericht des beratenden Arztes der Krankenversicherung des Beschwerdeführers (M7). Dieser erachtete eine unfallähn- liche Körperschädigung als gegeben, da beim Versicherten eine «gedeckte Bandläsion» des vorderen Kreuzbandes (Dehnung/Zerrung/Ödem) in Verbindung mit einer ossären Läsion des Tibiaplateaus MR-tomographisch beschrieben sei und Risse, Zerrungen und blosse Dehnung von Bändern gemäss bundesgerichtlicher Rechtsprechung (BGE 114 V 298 E. 3d) unter den Oberbegriff «Bandläsionen» (Art. 6 Abs. 2 lit. g UVG) fielen.</w:t>
      </w:r>
    </w:p>
    <w:p>
      <w:r>
        <w:t>- 8 -</w:t>
      </w:r>
    </w:p>
    <w:p>
      <w:r>
        <w:rPr>
          <w:b/>
        </w:rPr>
        <w:t>E. 6.5</w:t>
      </w:r>
    </w:p>
    <w:p>
      <w:r>
        <w:t>Für das erkennende Gericht ist die versicherungsmedizinische Stellungnahme des beratenden Arztes der Beschwerdegegnerin schlüssig und nachvollziehbar. Er stellte völlig zu Recht, dass zeitnah zum beurteilenden Ereignis keine klinischen medizinischen Erhebungen dokumentiert sind und sich diese im Nachhinein auch nicht mehr rekonstru- ieren lassen. Der Mediziner stützte sich für seine Beurteilung auf die vorhandenen An- gaben und zeigte zur Sicherstellung einer möglichst objektiven Nachvollziehbarkeit auch die Defizite der fachärztlichen Dokumentation auf. Trotz der unbefriedigenden Dokumen- tationslage stellt das MRT vom 22. Februar 2023 eine objektive Grundlage für die Beur- teilung des Verletzungsmusters des Beschwerdeführers dar. Die Bildgebung zeigt keine Fraktur, sondern lediglich Fissurlinen im lateralen Femurkondylus. Für das Tibiaplateau hingegen wurde kein Befund erhoben, was der Beurteilung des beratenden Arztes der Krankenversicherung, der eine ossäre Läsion des Tibiaplateaus als MR-tomographisch beschrieben erachtete, widerspricht. Auch eine Bandläsion wurde aufgrund der Bildge- bung nicht beschrieben, sondern lediglich differentialdia-gnostisch Residuen nach Dis- tension/Distorsion am tibialen Ansatz des vorderen Kreuzbandes. Aufgrund der radiolo- gischen Beurteilung ist weder von einer Fraktur im Sinne von Art. 6 Abs. 2 lit. a UVG noch von einer akuten Bandläsion im Sinne von Art. 6 Abs. 2 lit. g UVG auszugehen. Die Behauptung des Beschwerdeführers, dass er keine vorbestehenden Kniebeschwerden gehabt habe, läuft auf eine unzulässige und beweisrechtlich wertlose Argumentation hin- aus (vgl. E. 4 in fine).</w:t>
      </w:r>
    </w:p>
    <w:p>
      <w:r>
        <w:rPr>
          <w:b/>
        </w:rPr>
        <w:t>E. 6.6</w:t>
      </w:r>
    </w:p>
    <w:p>
      <w:r>
        <w:t>Nach dem Gesagten ist weder der Unfallbegriff erfüllt noch liegt eine Listenverlet- zung nach Art. 6 Abs. 2 UVG vor. Die Beschwerdegegnerin hat eine Leistungsüber- nahme damit zu Recht abgelehnt und die dagegen erhobene Beschwerde ist abzuwei- sen.</w:t>
      </w:r>
    </w:p>
    <w:p>
      <w:r>
        <w:rPr>
          <w:b/>
        </w:rPr>
        <w:t>E. 7</w:t>
      </w:r>
    </w:p>
    <w:p>
      <w:r>
        <w:t>Das Verfahren ist, von hier nicht massgebenden Ausnahmen abgesehen, kostenlos (Art. 61 lit. fbis ATSG). Da der Beschwerdeführer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